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53F" w:rsidRPr="008E40D6" w:rsidRDefault="00536E5A" w:rsidP="0031253F">
      <w:pPr>
        <w:pStyle w:val="Heading1"/>
        <w:rPr>
          <w:b/>
          <w:sz w:val="31"/>
          <w:szCs w:val="31"/>
        </w:rPr>
      </w:pPr>
      <w:r w:rsidRPr="008E40D6">
        <w:rPr>
          <w:b/>
          <w:sz w:val="31"/>
          <w:szCs w:val="31"/>
        </w:rPr>
        <w:t>Regional Telepresence Utilization</w:t>
      </w:r>
      <w:r w:rsidR="001F6973" w:rsidRPr="008E40D6">
        <w:rPr>
          <w:b/>
          <w:sz w:val="31"/>
          <w:szCs w:val="31"/>
        </w:rPr>
        <w:t xml:space="preserve">:  </w:t>
      </w:r>
      <w:r w:rsidRPr="008E40D6">
        <w:rPr>
          <w:b/>
          <w:sz w:val="31"/>
          <w:szCs w:val="31"/>
        </w:rPr>
        <w:t xml:space="preserve">Exponential Growth and </w:t>
      </w:r>
      <w:r w:rsidR="008E40D6" w:rsidRPr="008E40D6">
        <w:rPr>
          <w:b/>
          <w:sz w:val="31"/>
          <w:szCs w:val="31"/>
        </w:rPr>
        <w:t>Foundational Investment</w:t>
      </w:r>
    </w:p>
    <w:p w:rsidR="001F6973" w:rsidRPr="00D01EC9" w:rsidRDefault="001954B4" w:rsidP="00781BCD">
      <w:pPr>
        <w:pStyle w:val="xmsonormal"/>
        <w:ind w:right="-90"/>
        <w:jc w:val="center"/>
        <w:rPr>
          <w:i/>
          <w:sz w:val="20"/>
          <w:szCs w:val="20"/>
        </w:rPr>
      </w:pPr>
      <w:r w:rsidRPr="00D01EC9">
        <w:rPr>
          <w:i/>
          <w:sz w:val="20"/>
          <w:szCs w:val="20"/>
        </w:rPr>
        <w:t xml:space="preserve">A report issued reflecting use of telepresence by the Human Services Departments of </w:t>
      </w:r>
      <w:r w:rsidR="001F6973" w:rsidRPr="00D01EC9">
        <w:rPr>
          <w:i/>
          <w:sz w:val="20"/>
          <w:szCs w:val="20"/>
        </w:rPr>
        <w:t>Blue Earth, Brown, Faribault, Freeborn,</w:t>
      </w:r>
      <w:r w:rsidR="009134DD">
        <w:rPr>
          <w:i/>
          <w:sz w:val="20"/>
          <w:szCs w:val="20"/>
        </w:rPr>
        <w:t xml:space="preserve"> </w:t>
      </w:r>
      <w:r w:rsidR="001F6973" w:rsidRPr="00D01EC9">
        <w:rPr>
          <w:i/>
          <w:sz w:val="20"/>
          <w:szCs w:val="20"/>
        </w:rPr>
        <w:t>Le</w:t>
      </w:r>
      <w:r w:rsidR="00781BCD">
        <w:rPr>
          <w:i/>
          <w:sz w:val="20"/>
          <w:szCs w:val="20"/>
        </w:rPr>
        <w:t xml:space="preserve"> </w:t>
      </w:r>
      <w:r w:rsidR="001F6973" w:rsidRPr="00D01EC9">
        <w:rPr>
          <w:i/>
          <w:sz w:val="20"/>
          <w:szCs w:val="20"/>
        </w:rPr>
        <w:t>Sueur, Martin, Nicollet, Rice, Sibley, and Watonwa</w:t>
      </w:r>
      <w:r w:rsidRPr="00D01EC9">
        <w:rPr>
          <w:i/>
          <w:sz w:val="20"/>
          <w:szCs w:val="20"/>
        </w:rPr>
        <w:t>n Counties</w:t>
      </w:r>
    </w:p>
    <w:p w:rsidR="001F6973" w:rsidRPr="00D01EC9" w:rsidRDefault="001F6973" w:rsidP="00F11959">
      <w:pPr>
        <w:pStyle w:val="xmsonormal"/>
        <w:rPr>
          <w:sz w:val="20"/>
          <w:szCs w:val="20"/>
        </w:rPr>
      </w:pPr>
    </w:p>
    <w:p w:rsidR="00F11959" w:rsidRPr="0031253F" w:rsidRDefault="00F11959" w:rsidP="00F11959">
      <w:pPr>
        <w:pStyle w:val="xmsonormal"/>
      </w:pPr>
      <w:r w:rsidRPr="0031253F">
        <w:t xml:space="preserve">The </w:t>
      </w:r>
      <w:r w:rsidRPr="00D01EC9">
        <w:rPr>
          <w:b/>
        </w:rPr>
        <w:t>DHS/MNIT owned-and-operated telepresence network</w:t>
      </w:r>
      <w:r w:rsidRPr="0031253F">
        <w:t xml:space="preserve"> provides secure, encrypted, HIPAA compliant connections to over 6,000 users – which include Minnesota tribal nations, counties, law enforcement, courts, schools, mental health providers, other human service agencies, and those they serve.  </w:t>
      </w:r>
    </w:p>
    <w:p w:rsidR="00F11959" w:rsidRPr="0031253F" w:rsidRDefault="00F11959" w:rsidP="00F11959">
      <w:pPr>
        <w:pStyle w:val="xmsonormal"/>
      </w:pPr>
    </w:p>
    <w:p w:rsidR="001954B4" w:rsidRDefault="00F11959" w:rsidP="00F11959">
      <w:pPr>
        <w:pStyle w:val="xmsonormal"/>
      </w:pPr>
      <w:r w:rsidRPr="0031253F">
        <w:t xml:space="preserve">The </w:t>
      </w:r>
      <w:r w:rsidR="008E40D6" w:rsidRPr="0031253F">
        <w:t>South-Central</w:t>
      </w:r>
      <w:r w:rsidR="00E14BBD" w:rsidRPr="0031253F">
        <w:t xml:space="preserve"> Community Based Initiative</w:t>
      </w:r>
      <w:r w:rsidR="008E40D6">
        <w:t xml:space="preserve"> (SCCBI)</w:t>
      </w:r>
      <w:r w:rsidR="001954B4">
        <w:t xml:space="preserve">, an </w:t>
      </w:r>
      <w:r w:rsidR="008E40D6">
        <w:t>A</w:t>
      </w:r>
      <w:r w:rsidR="001954B4">
        <w:t xml:space="preserve">dult </w:t>
      </w:r>
      <w:r w:rsidR="008E40D6">
        <w:t>M</w:t>
      </w:r>
      <w:r w:rsidR="001954B4">
        <w:t xml:space="preserve">ental Health </w:t>
      </w:r>
      <w:r w:rsidR="008E40D6">
        <w:t>I</w:t>
      </w:r>
      <w:r w:rsidR="001954B4">
        <w:t>nitiative for the counties listed above, has</w:t>
      </w:r>
      <w:r w:rsidR="00623B42">
        <w:t xml:space="preserve"> found </w:t>
      </w:r>
      <w:r w:rsidR="001954B4">
        <w:t>DHS/MNIT’s easy-to-us</w:t>
      </w:r>
      <w:r w:rsidR="00447937">
        <w:t>e, cost effective, and</w:t>
      </w:r>
      <w:r w:rsidR="001954B4">
        <w:t xml:space="preserve"> expandable telepresence network </w:t>
      </w:r>
      <w:r w:rsidR="00623B42">
        <w:t xml:space="preserve">to be </w:t>
      </w:r>
      <w:r w:rsidR="001954B4">
        <w:t xml:space="preserve">highly successful at improving access to services.  </w:t>
      </w:r>
      <w:r w:rsidR="001954B4" w:rsidRPr="00D01EC9">
        <w:rPr>
          <w:b/>
        </w:rPr>
        <w:t>Maintaining this network is critical to our ability to serve people.</w:t>
      </w:r>
    </w:p>
    <w:p w:rsidR="001954B4" w:rsidRDefault="001954B4" w:rsidP="00F11959">
      <w:pPr>
        <w:pStyle w:val="xmsonormal"/>
      </w:pPr>
    </w:p>
    <w:p w:rsidR="001954B4" w:rsidRPr="00D01EC9" w:rsidRDefault="009F1BD6" w:rsidP="00F11959">
      <w:pPr>
        <w:pStyle w:val="xmsonormal"/>
        <w:rPr>
          <w:b/>
        </w:rPr>
      </w:pPr>
      <w:r w:rsidRPr="0031253F">
        <w:rPr>
          <w:noProof/>
        </w:rPr>
        <w:drawing>
          <wp:anchor distT="0" distB="0" distL="114300" distR="114300" simplePos="0" relativeHeight="251658240" behindDoc="0" locked="0" layoutInCell="1" allowOverlap="1" wp14:anchorId="399F946F">
            <wp:simplePos x="0" y="0"/>
            <wp:positionH relativeFrom="margin">
              <wp:posOffset>4391025</wp:posOffset>
            </wp:positionH>
            <wp:positionV relativeFrom="margin">
              <wp:posOffset>4267200</wp:posOffset>
            </wp:positionV>
            <wp:extent cx="2604135" cy="4314825"/>
            <wp:effectExtent l="0" t="0" r="5715" b="9525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2A3D55F-9884-4630-8A0A-BF2FD6353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EC9" w:rsidRPr="00D01EC9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F703ECF">
            <wp:simplePos x="0" y="0"/>
            <wp:positionH relativeFrom="margin">
              <wp:align>center</wp:align>
            </wp:positionH>
            <wp:positionV relativeFrom="paragraph">
              <wp:posOffset>636905</wp:posOffset>
            </wp:positionV>
            <wp:extent cx="74295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545" y="21282"/>
                <wp:lineTo x="21545" y="0"/>
                <wp:lineTo x="0" y="0"/>
              </wp:wrapPolygon>
            </wp:wrapTight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419F6802-AEF6-44E2-9976-61BF5A6813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954B4" w:rsidRPr="00D01EC9">
        <w:rPr>
          <w:b/>
        </w:rPr>
        <w:t>As a result of</w:t>
      </w:r>
      <w:proofErr w:type="gramEnd"/>
      <w:r w:rsidR="001954B4" w:rsidRPr="00D01EC9">
        <w:rPr>
          <w:b/>
        </w:rPr>
        <w:t xml:space="preserve"> the COVID-19 pandemic</w:t>
      </w:r>
      <w:r w:rsidR="001954B4">
        <w:t>, leaders in the counties above agreed to expand access to the existing project beyond mental health services,</w:t>
      </w:r>
      <w:r w:rsidR="00447937">
        <w:t xml:space="preserve"> so we could safely serve the public in other program areas.  Using the DHS/MNIT </w:t>
      </w:r>
      <w:r w:rsidR="00447937" w:rsidRPr="00D01EC9">
        <w:rPr>
          <w:b/>
        </w:rPr>
        <w:t>network, we quickly added telepresence users</w:t>
      </w:r>
      <w:r w:rsidR="00623B42" w:rsidRPr="00D01EC9">
        <w:rPr>
          <w:b/>
        </w:rPr>
        <w:t xml:space="preserve"> </w:t>
      </w:r>
      <w:r w:rsidR="00935759">
        <w:rPr>
          <w:b/>
        </w:rPr>
        <w:t>to</w:t>
      </w:r>
      <w:r w:rsidR="00623B42" w:rsidRPr="00D01EC9">
        <w:rPr>
          <w:b/>
        </w:rPr>
        <w:t xml:space="preserve"> serve people easily through their home computer or smartphone.</w:t>
      </w:r>
    </w:p>
    <w:p w:rsidR="001954B4" w:rsidRPr="00D01EC9" w:rsidRDefault="00D01EC9" w:rsidP="00F11959">
      <w:pPr>
        <w:pStyle w:val="xmsonormal"/>
        <w:rPr>
          <w:b/>
        </w:rPr>
      </w:pPr>
      <w:r w:rsidRPr="00D01EC9">
        <w:rPr>
          <w:b/>
        </w:rPr>
        <w:t>W</w:t>
      </w:r>
      <w:r w:rsidR="00447937" w:rsidRPr="00D01EC9">
        <w:rPr>
          <w:b/>
        </w:rPr>
        <w:t xml:space="preserve">ho is using the DHS/MNIT </w:t>
      </w:r>
      <w:r w:rsidRPr="00D01EC9">
        <w:rPr>
          <w:b/>
        </w:rPr>
        <w:t xml:space="preserve">telepresence </w:t>
      </w:r>
      <w:r w:rsidR="00447937" w:rsidRPr="00D01EC9">
        <w:rPr>
          <w:b/>
        </w:rPr>
        <w:t>network in our region</w:t>
      </w:r>
      <w:r w:rsidR="008E40D6">
        <w:rPr>
          <w:b/>
        </w:rPr>
        <w:t xml:space="preserve"> now</w:t>
      </w:r>
      <w:r w:rsidR="00447937" w:rsidRPr="00D01EC9">
        <w:rPr>
          <w:b/>
        </w:rPr>
        <w:t>?</w:t>
      </w:r>
    </w:p>
    <w:p w:rsidR="009F1BD6" w:rsidRDefault="009F1BD6" w:rsidP="009F1BD6">
      <w:pPr>
        <w:pStyle w:val="xmsonormal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1552575" cy="1762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762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6C4A9F" w:rsidRPr="006C4A9F" w:rsidRDefault="006C4A9F" w:rsidP="006C4A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4A9F">
                              <w:rPr>
                                <w:b/>
                              </w:rPr>
                              <w:t>Who is waiting to be added to the network?</w:t>
                            </w:r>
                          </w:p>
                          <w:p w:rsidR="006C4A9F" w:rsidRPr="006C4A9F" w:rsidRDefault="006C4A9F" w:rsidP="006C4A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C4A9F">
                              <w:rPr>
                                <w:sz w:val="20"/>
                                <w:szCs w:val="20"/>
                              </w:rPr>
                              <w:t>Public Health</w:t>
                            </w:r>
                          </w:p>
                          <w:p w:rsidR="006C4A9F" w:rsidRPr="006C4A9F" w:rsidRDefault="006C4A9F" w:rsidP="006C4A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C4A9F">
                              <w:rPr>
                                <w:sz w:val="20"/>
                                <w:szCs w:val="20"/>
                              </w:rPr>
                              <w:t>All law enforcement</w:t>
                            </w:r>
                          </w:p>
                          <w:p w:rsidR="006C4A9F" w:rsidRPr="006C4A9F" w:rsidRDefault="006C4A9F" w:rsidP="006C4A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C4A9F">
                              <w:rPr>
                                <w:sz w:val="20"/>
                                <w:szCs w:val="20"/>
                              </w:rPr>
                              <w:t>Drug Courts</w:t>
                            </w:r>
                          </w:p>
                          <w:p w:rsidR="006C4A9F" w:rsidRDefault="006C4A9F" w:rsidP="006C4A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C4A9F">
                              <w:rPr>
                                <w:sz w:val="20"/>
                                <w:szCs w:val="20"/>
                              </w:rPr>
                              <w:t>All Emergency Dep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ts</w:t>
                            </w:r>
                          </w:p>
                          <w:p w:rsidR="009F1BD6" w:rsidRPr="006C4A9F" w:rsidRDefault="009F1BD6" w:rsidP="006C4A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Community Providers</w:t>
                            </w:r>
                          </w:p>
                          <w:p w:rsidR="006C4A9F" w:rsidRDefault="006C4A9F" w:rsidP="006C4A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6C4A9F">
                              <w:rPr>
                                <w:sz w:val="20"/>
                                <w:szCs w:val="20"/>
                              </w:rPr>
                              <w:t>All Jails</w:t>
                            </w:r>
                          </w:p>
                          <w:p w:rsidR="006C4A9F" w:rsidRPr="006C4A9F" w:rsidRDefault="006C4A9F" w:rsidP="006C4A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hanging="540"/>
                              <w:rPr>
                                <w:sz w:val="20"/>
                                <w:szCs w:val="20"/>
                              </w:rPr>
                            </w:pPr>
                            <w:r w:rsidRPr="006C4A9F">
                              <w:rPr>
                                <w:sz w:val="20"/>
                                <w:szCs w:val="20"/>
                              </w:rPr>
                              <w:t xml:space="preserve">Regions </w:t>
                            </w:r>
                            <w:r w:rsidR="009F1BD6">
                              <w:rPr>
                                <w:sz w:val="20"/>
                                <w:szCs w:val="20"/>
                              </w:rPr>
                              <w:t>statewide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7pt;width:122.25pt;height:13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" fillcolor="#f7caac [1301]" strokecolor="#bfbfbf [2412]" strokeweight=".5pt">
                <v:textbox>
                  <w:txbxContent>
                    <w:p w:rsidR="006C4A9F" w:rsidRPr="006C4A9F" w:rsidRDefault="006C4A9F" w:rsidP="006C4A9F">
                      <w:pPr>
                        <w:jc w:val="center"/>
                        <w:rPr>
                          <w:b/>
                        </w:rPr>
                      </w:pPr>
                      <w:r w:rsidRPr="006C4A9F">
                        <w:rPr>
                          <w:b/>
                        </w:rPr>
                        <w:t>Who is waiting to be added to the network?</w:t>
                      </w:r>
                    </w:p>
                    <w:p w:rsidR="006C4A9F" w:rsidRPr="006C4A9F" w:rsidRDefault="006C4A9F" w:rsidP="006C4A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6C4A9F">
                        <w:rPr>
                          <w:sz w:val="20"/>
                          <w:szCs w:val="20"/>
                        </w:rPr>
                        <w:t>Public Health</w:t>
                      </w:r>
                    </w:p>
                    <w:p w:rsidR="006C4A9F" w:rsidRPr="006C4A9F" w:rsidRDefault="006C4A9F" w:rsidP="006C4A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6C4A9F">
                        <w:rPr>
                          <w:sz w:val="20"/>
                          <w:szCs w:val="20"/>
                        </w:rPr>
                        <w:t>All law enforcement</w:t>
                      </w:r>
                    </w:p>
                    <w:p w:rsidR="006C4A9F" w:rsidRPr="006C4A9F" w:rsidRDefault="006C4A9F" w:rsidP="006C4A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6C4A9F">
                        <w:rPr>
                          <w:sz w:val="20"/>
                          <w:szCs w:val="20"/>
                        </w:rPr>
                        <w:t>Drug Courts</w:t>
                      </w:r>
                    </w:p>
                    <w:p w:rsidR="006C4A9F" w:rsidRDefault="006C4A9F" w:rsidP="006C4A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6C4A9F">
                        <w:rPr>
                          <w:sz w:val="20"/>
                          <w:szCs w:val="20"/>
                        </w:rPr>
                        <w:t>All Emergency Dep</w:t>
                      </w:r>
                      <w:r>
                        <w:rPr>
                          <w:sz w:val="20"/>
                          <w:szCs w:val="20"/>
                        </w:rPr>
                        <w:t>ts</w:t>
                      </w:r>
                    </w:p>
                    <w:p w:rsidR="009F1BD6" w:rsidRPr="006C4A9F" w:rsidRDefault="009F1BD6" w:rsidP="006C4A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Community Providers</w:t>
                      </w:r>
                    </w:p>
                    <w:p w:rsidR="006C4A9F" w:rsidRDefault="006C4A9F" w:rsidP="006C4A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6C4A9F">
                        <w:rPr>
                          <w:sz w:val="20"/>
                          <w:szCs w:val="20"/>
                        </w:rPr>
                        <w:t>All Jails</w:t>
                      </w:r>
                    </w:p>
                    <w:p w:rsidR="006C4A9F" w:rsidRPr="006C4A9F" w:rsidRDefault="006C4A9F" w:rsidP="006C4A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hanging="540"/>
                        <w:rPr>
                          <w:sz w:val="20"/>
                          <w:szCs w:val="20"/>
                        </w:rPr>
                      </w:pPr>
                      <w:r w:rsidRPr="006C4A9F">
                        <w:rPr>
                          <w:sz w:val="20"/>
                          <w:szCs w:val="20"/>
                        </w:rPr>
                        <w:t xml:space="preserve">Regions </w:t>
                      </w:r>
                      <w:r w:rsidR="009F1BD6">
                        <w:rPr>
                          <w:sz w:val="20"/>
                          <w:szCs w:val="20"/>
                        </w:rPr>
                        <w:t>statewide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4A9F" w:rsidRDefault="006C4A9F" w:rsidP="009A4791">
      <w:pPr>
        <w:pStyle w:val="xmso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County </w:t>
      </w:r>
      <w:r w:rsidR="00447937" w:rsidRPr="003E7B95">
        <w:rPr>
          <w:sz w:val="20"/>
          <w:szCs w:val="20"/>
        </w:rPr>
        <w:t>Case Managers</w:t>
      </w:r>
      <w:r>
        <w:rPr>
          <w:sz w:val="20"/>
          <w:szCs w:val="20"/>
        </w:rPr>
        <w:t xml:space="preserve"> &amp; Licensors</w:t>
      </w:r>
      <w:r w:rsidR="00447937" w:rsidRPr="003E7B95">
        <w:rPr>
          <w:sz w:val="20"/>
          <w:szCs w:val="20"/>
        </w:rPr>
        <w:t xml:space="preserve"> </w:t>
      </w:r>
    </w:p>
    <w:p w:rsidR="00447937" w:rsidRPr="003E7B95" w:rsidRDefault="00447937" w:rsidP="009A4791">
      <w:pPr>
        <w:pStyle w:val="xmsonormal"/>
        <w:numPr>
          <w:ilvl w:val="0"/>
          <w:numId w:val="1"/>
        </w:numPr>
        <w:rPr>
          <w:sz w:val="20"/>
          <w:szCs w:val="20"/>
        </w:rPr>
      </w:pPr>
      <w:proofErr w:type="spellStart"/>
      <w:r w:rsidRPr="003E7B95">
        <w:rPr>
          <w:sz w:val="20"/>
          <w:szCs w:val="20"/>
        </w:rPr>
        <w:t>MNChoices</w:t>
      </w:r>
      <w:proofErr w:type="spellEnd"/>
      <w:r w:rsidRPr="003E7B95">
        <w:rPr>
          <w:sz w:val="20"/>
          <w:szCs w:val="20"/>
        </w:rPr>
        <w:t xml:space="preserve"> Assessors</w:t>
      </w:r>
      <w:r w:rsidR="00D01EC9" w:rsidRPr="003E7B95">
        <w:rPr>
          <w:sz w:val="20"/>
          <w:szCs w:val="20"/>
        </w:rPr>
        <w:t xml:space="preserve"> </w:t>
      </w:r>
    </w:p>
    <w:p w:rsidR="00447937" w:rsidRPr="003E7B95" w:rsidRDefault="00447937" w:rsidP="00447937">
      <w:pPr>
        <w:pStyle w:val="xmsonormal"/>
        <w:numPr>
          <w:ilvl w:val="0"/>
          <w:numId w:val="1"/>
        </w:numPr>
        <w:rPr>
          <w:sz w:val="20"/>
          <w:szCs w:val="20"/>
        </w:rPr>
      </w:pPr>
      <w:r w:rsidRPr="003E7B95">
        <w:rPr>
          <w:sz w:val="20"/>
          <w:szCs w:val="20"/>
        </w:rPr>
        <w:t xml:space="preserve">Human Services Supervisors </w:t>
      </w:r>
      <w:r w:rsidR="006C4A9F">
        <w:rPr>
          <w:sz w:val="20"/>
          <w:szCs w:val="20"/>
        </w:rPr>
        <w:t>&amp;</w:t>
      </w:r>
      <w:r w:rsidRPr="003E7B95">
        <w:rPr>
          <w:sz w:val="20"/>
          <w:szCs w:val="20"/>
        </w:rPr>
        <w:t xml:space="preserve"> Directors</w:t>
      </w:r>
    </w:p>
    <w:p w:rsidR="00447937" w:rsidRPr="003E7B95" w:rsidRDefault="00447937" w:rsidP="00447937">
      <w:pPr>
        <w:pStyle w:val="xmsonormal"/>
        <w:numPr>
          <w:ilvl w:val="0"/>
          <w:numId w:val="1"/>
        </w:numPr>
        <w:rPr>
          <w:sz w:val="20"/>
          <w:szCs w:val="20"/>
        </w:rPr>
      </w:pPr>
      <w:r w:rsidRPr="003E7B95">
        <w:rPr>
          <w:sz w:val="20"/>
          <w:szCs w:val="20"/>
        </w:rPr>
        <w:t>Psychiatry &amp; Therapy Providers</w:t>
      </w:r>
    </w:p>
    <w:p w:rsidR="00447937" w:rsidRPr="003E7B95" w:rsidRDefault="00447937" w:rsidP="00447937">
      <w:pPr>
        <w:pStyle w:val="xmsonormal"/>
        <w:numPr>
          <w:ilvl w:val="0"/>
          <w:numId w:val="1"/>
        </w:numPr>
        <w:rPr>
          <w:sz w:val="20"/>
          <w:szCs w:val="20"/>
        </w:rPr>
      </w:pPr>
      <w:r w:rsidRPr="003E7B95">
        <w:rPr>
          <w:sz w:val="20"/>
          <w:szCs w:val="20"/>
        </w:rPr>
        <w:t>Jail-Based Care Coordinators</w:t>
      </w:r>
    </w:p>
    <w:p w:rsidR="006C4A9F" w:rsidRDefault="00781BCD" w:rsidP="006C4A9F">
      <w:pPr>
        <w:pStyle w:val="xmso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Some </w:t>
      </w:r>
      <w:r w:rsidR="00447937" w:rsidRPr="003E7B95">
        <w:rPr>
          <w:sz w:val="20"/>
          <w:szCs w:val="20"/>
        </w:rPr>
        <w:t>Law Enforcement</w:t>
      </w:r>
      <w:r w:rsidR="00D01EC9" w:rsidRPr="003E7B95">
        <w:rPr>
          <w:sz w:val="20"/>
          <w:szCs w:val="20"/>
        </w:rPr>
        <w:t xml:space="preserve"> Agencies </w:t>
      </w:r>
    </w:p>
    <w:p w:rsidR="00447937" w:rsidRPr="006C4A9F" w:rsidRDefault="006C4A9F" w:rsidP="006C4A9F">
      <w:pPr>
        <w:pStyle w:val="xmsonormal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Rural </w:t>
      </w:r>
      <w:r w:rsidR="00447937" w:rsidRPr="006C4A9F">
        <w:rPr>
          <w:sz w:val="20"/>
          <w:szCs w:val="20"/>
        </w:rPr>
        <w:t>Emergency Departments</w:t>
      </w:r>
    </w:p>
    <w:p w:rsidR="00447937" w:rsidRPr="003E7B95" w:rsidRDefault="00447937" w:rsidP="00447937">
      <w:pPr>
        <w:pStyle w:val="xmsonormal"/>
        <w:numPr>
          <w:ilvl w:val="0"/>
          <w:numId w:val="1"/>
        </w:numPr>
        <w:rPr>
          <w:sz w:val="20"/>
          <w:szCs w:val="20"/>
        </w:rPr>
      </w:pPr>
      <w:r w:rsidRPr="003E7B95">
        <w:rPr>
          <w:sz w:val="20"/>
          <w:szCs w:val="20"/>
        </w:rPr>
        <w:t xml:space="preserve">Residential </w:t>
      </w:r>
      <w:r w:rsidR="006C4A9F">
        <w:rPr>
          <w:sz w:val="20"/>
          <w:szCs w:val="20"/>
        </w:rPr>
        <w:t>/</w:t>
      </w:r>
      <w:r w:rsidRPr="003E7B95">
        <w:rPr>
          <w:sz w:val="20"/>
          <w:szCs w:val="20"/>
        </w:rPr>
        <w:t xml:space="preserve"> Community Providers</w:t>
      </w:r>
    </w:p>
    <w:p w:rsidR="00447937" w:rsidRPr="003E7B95" w:rsidRDefault="00447937" w:rsidP="00447937">
      <w:pPr>
        <w:pStyle w:val="xmsonormal"/>
        <w:numPr>
          <w:ilvl w:val="0"/>
          <w:numId w:val="1"/>
        </w:numPr>
        <w:rPr>
          <w:sz w:val="20"/>
          <w:szCs w:val="20"/>
        </w:rPr>
      </w:pPr>
      <w:r w:rsidRPr="003E7B95">
        <w:rPr>
          <w:sz w:val="20"/>
          <w:szCs w:val="20"/>
        </w:rPr>
        <w:t>Mental Health Clubhouses</w:t>
      </w:r>
    </w:p>
    <w:p w:rsidR="009F1BD6" w:rsidRDefault="009F1BD6" w:rsidP="00F11959">
      <w:pPr>
        <w:pStyle w:val="xmsonormal"/>
      </w:pPr>
    </w:p>
    <w:p w:rsidR="001954B4" w:rsidRPr="00D01EC9" w:rsidRDefault="00623B42" w:rsidP="00F11959">
      <w:pPr>
        <w:pStyle w:val="xmsonormal"/>
        <w:rPr>
          <w:b/>
        </w:rPr>
      </w:pPr>
      <w:r w:rsidRPr="00D01EC9">
        <w:rPr>
          <w:b/>
        </w:rPr>
        <w:t>Why is this network at risk?</w:t>
      </w:r>
    </w:p>
    <w:p w:rsidR="00623B42" w:rsidRDefault="004F71FE" w:rsidP="004F71FE">
      <w:pPr>
        <w:pStyle w:val="xmsonormal"/>
        <w:numPr>
          <w:ilvl w:val="0"/>
          <w:numId w:val="3"/>
        </w:numPr>
      </w:pPr>
      <w:r>
        <w:t>The current net</w:t>
      </w:r>
      <w:r w:rsidR="00623B42">
        <w:t>work is</w:t>
      </w:r>
      <w:r w:rsidR="003E7B95">
        <w:t xml:space="preserve"> limited and</w:t>
      </w:r>
      <w:r w:rsidR="00623B42">
        <w:t xml:space="preserve"> </w:t>
      </w:r>
      <w:r w:rsidR="00623B42" w:rsidRPr="00935759">
        <w:rPr>
          <w:b/>
        </w:rPr>
        <w:t>AT CAPACITY</w:t>
      </w:r>
      <w:r w:rsidR="003E7B95">
        <w:rPr>
          <w:b/>
        </w:rPr>
        <w:t xml:space="preserve"> and needs to be moved to the cloud</w:t>
      </w:r>
      <w:r w:rsidR="00623B42">
        <w:t xml:space="preserve">.  </w:t>
      </w:r>
      <w:r>
        <w:t>Some</w:t>
      </w:r>
      <w:r w:rsidR="00623B42">
        <w:t xml:space="preserve"> </w:t>
      </w:r>
      <w:r w:rsidR="009F1BD6">
        <w:t xml:space="preserve">other </w:t>
      </w:r>
      <w:r w:rsidR="00623B42">
        <w:t xml:space="preserve">regions </w:t>
      </w:r>
      <w:r w:rsidR="00781BCD">
        <w:t>request</w:t>
      </w:r>
      <w:r w:rsidR="00623B42">
        <w:t xml:space="preserve"> to join the network </w:t>
      </w:r>
      <w:r w:rsidR="00781BCD">
        <w:t>because of</w:t>
      </w:r>
      <w:r w:rsidR="00623B42">
        <w:t xml:space="preserve"> COVID-19 </w:t>
      </w:r>
      <w:r>
        <w:t>have been denied due to this</w:t>
      </w:r>
      <w:r w:rsidR="00623B42">
        <w:t>.</w:t>
      </w:r>
      <w:r>
        <w:t xml:space="preserve">  For the first time ever, users have reported “busy signals” when they attempt to make a </w:t>
      </w:r>
      <w:r w:rsidR="00CF14EB">
        <w:t>connection</w:t>
      </w:r>
      <w:r>
        <w:t xml:space="preserve">. </w:t>
      </w:r>
    </w:p>
    <w:p w:rsidR="004F71FE" w:rsidRDefault="004F71FE" w:rsidP="004F71FE">
      <w:pPr>
        <w:pStyle w:val="xmsonormal"/>
        <w:numPr>
          <w:ilvl w:val="0"/>
          <w:numId w:val="3"/>
        </w:numPr>
      </w:pPr>
      <w:r>
        <w:t xml:space="preserve">Out of </w:t>
      </w:r>
      <w:r w:rsidR="008E40D6">
        <w:t>necessity</w:t>
      </w:r>
      <w:r>
        <w:t xml:space="preserve">, other counties / regions have quickly purchased access to other systems that are </w:t>
      </w:r>
      <w:r w:rsidR="00781BCD">
        <w:t>costlier</w:t>
      </w:r>
      <w:r>
        <w:t>, not integrated, and</w:t>
      </w:r>
      <w:r w:rsidR="00781BCD">
        <w:t xml:space="preserve"> </w:t>
      </w:r>
      <w:r w:rsidR="008E40D6">
        <w:t xml:space="preserve">likely to offer </w:t>
      </w:r>
      <w:r>
        <w:t>only a short-term solution.</w:t>
      </w:r>
    </w:p>
    <w:p w:rsidR="004F71FE" w:rsidRDefault="004F71FE" w:rsidP="004F71FE">
      <w:pPr>
        <w:pStyle w:val="xmsonormal"/>
      </w:pPr>
    </w:p>
    <w:p w:rsidR="00F11959" w:rsidRPr="00D01EC9" w:rsidRDefault="004F71FE" w:rsidP="00447937">
      <w:pPr>
        <w:pStyle w:val="xmsonormal"/>
        <w:rPr>
          <w:b/>
        </w:rPr>
      </w:pPr>
      <w:r w:rsidRPr="00D01EC9">
        <w:rPr>
          <w:b/>
        </w:rPr>
        <w:t>Why is funding critical now?</w:t>
      </w:r>
    </w:p>
    <w:p w:rsidR="004F71FE" w:rsidRDefault="004F71FE" w:rsidP="00447937">
      <w:pPr>
        <w:pStyle w:val="xmsonormal"/>
      </w:pPr>
      <w:r>
        <w:t xml:space="preserve">An investment of </w:t>
      </w:r>
      <w:r w:rsidR="00CF14EB">
        <w:t xml:space="preserve">at least </w:t>
      </w:r>
      <w:r>
        <w:t>$2 million</w:t>
      </w:r>
      <w:bookmarkStart w:id="0" w:name="_GoBack"/>
      <w:bookmarkEnd w:id="0"/>
      <w:r>
        <w:t xml:space="preserve"> would allow </w:t>
      </w:r>
      <w:r w:rsidR="00D023E5">
        <w:t xml:space="preserve">for </w:t>
      </w:r>
      <w:r>
        <w:t xml:space="preserve">necessary upgrades to the DHS/MNIT system to </w:t>
      </w:r>
      <w:r w:rsidR="00D023E5">
        <w:t xml:space="preserve">immediately </w:t>
      </w:r>
      <w:r>
        <w:t>occur.  It would eliminate capacity issues and allow expansion state-wide</w:t>
      </w:r>
      <w:r w:rsidR="003E7B95">
        <w:t>.</w:t>
      </w:r>
      <w:r w:rsidR="009F1BD6">
        <w:t xml:space="preserve">  It is imperative that Minnesota proactively positions itself to maximize the use of technology, ensuring essential service delivery for the future.</w:t>
      </w:r>
      <w:r w:rsidR="00D023E5">
        <w:br/>
      </w:r>
    </w:p>
    <w:p w:rsidR="00935759" w:rsidRPr="00935759" w:rsidRDefault="00935759" w:rsidP="00935759">
      <w:pPr>
        <w:pStyle w:val="xmsonormal"/>
        <w:jc w:val="center"/>
        <w:rPr>
          <w:b/>
          <w:i/>
          <w:color w:val="C45911" w:themeColor="accent2" w:themeShade="BF"/>
          <w:sz w:val="16"/>
          <w:szCs w:val="1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502920</wp:posOffset>
                </wp:positionV>
                <wp:extent cx="2286000" cy="238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759" w:rsidRPr="00935759" w:rsidRDefault="00935759">
                            <w:pPr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935759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Report issued 4/9/2020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0;margin-top:39.6pt;width:180pt;height:18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" filled="f" stroked="f" strokeweight=".5pt">
                <v:textbox>
                  <w:txbxContent>
                    <w:p w:rsidR="00935759" w:rsidRPr="00935759" w:rsidRDefault="00935759">
                      <w:pPr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935759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Report issued 4/9/2020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5372100</wp:posOffset>
                </wp:positionH>
                <wp:positionV relativeFrom="paragraph">
                  <wp:posOffset>455295</wp:posOffset>
                </wp:positionV>
                <wp:extent cx="1704975" cy="228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759" w:rsidRPr="00935759" w:rsidRDefault="00935759">
                            <w:pPr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935759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*projected using actual trend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23pt;margin-top:35.85pt;width:134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" filled="f" stroked="f" strokeweight=".5pt">
                <v:textbox>
                  <w:txbxContent>
                    <w:p w:rsidR="00935759" w:rsidRPr="00935759" w:rsidRDefault="00935759">
                      <w:pPr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935759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*projected using actual trend 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EC9" w:rsidRPr="00D01EC9">
        <w:rPr>
          <w:b/>
          <w:i/>
          <w:color w:val="C45911" w:themeColor="accent2" w:themeShade="BF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This is a critical and necessary investment to support our lifeline to the most vulnerable Minnesotans right now AND invest in a platform that will allow for growth into the future.</w:t>
      </w:r>
    </w:p>
    <w:sectPr w:rsidR="00935759" w:rsidRPr="00935759" w:rsidSect="00CF14EB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E9C" w:rsidRDefault="00D04E9C" w:rsidP="00935759">
      <w:pPr>
        <w:spacing w:after="0" w:line="240" w:lineRule="auto"/>
      </w:pPr>
      <w:r>
        <w:separator/>
      </w:r>
    </w:p>
  </w:endnote>
  <w:endnote w:type="continuationSeparator" w:id="0">
    <w:p w:rsidR="00D04E9C" w:rsidRDefault="00D04E9C" w:rsidP="0093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E9C" w:rsidRDefault="00D04E9C" w:rsidP="00935759">
      <w:pPr>
        <w:spacing w:after="0" w:line="240" w:lineRule="auto"/>
      </w:pPr>
      <w:r>
        <w:separator/>
      </w:r>
    </w:p>
  </w:footnote>
  <w:footnote w:type="continuationSeparator" w:id="0">
    <w:p w:rsidR="00D04E9C" w:rsidRDefault="00D04E9C" w:rsidP="00935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92463"/>
    <w:multiLevelType w:val="hybridMultilevel"/>
    <w:tmpl w:val="3370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A2F8D"/>
    <w:multiLevelType w:val="hybridMultilevel"/>
    <w:tmpl w:val="BD8C2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5481A"/>
    <w:multiLevelType w:val="hybridMultilevel"/>
    <w:tmpl w:val="A4E6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842AB"/>
    <w:multiLevelType w:val="hybridMultilevel"/>
    <w:tmpl w:val="DAD4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59"/>
    <w:rsid w:val="000B02BD"/>
    <w:rsid w:val="001954B4"/>
    <w:rsid w:val="001F6973"/>
    <w:rsid w:val="0031253F"/>
    <w:rsid w:val="003E7B95"/>
    <w:rsid w:val="00447937"/>
    <w:rsid w:val="004F71FE"/>
    <w:rsid w:val="00536E5A"/>
    <w:rsid w:val="00554F3D"/>
    <w:rsid w:val="00623B42"/>
    <w:rsid w:val="006A1692"/>
    <w:rsid w:val="006C4A9F"/>
    <w:rsid w:val="006E6A88"/>
    <w:rsid w:val="007239B9"/>
    <w:rsid w:val="00781BCD"/>
    <w:rsid w:val="008206CD"/>
    <w:rsid w:val="008E40D6"/>
    <w:rsid w:val="009134DD"/>
    <w:rsid w:val="00935759"/>
    <w:rsid w:val="009F1BD6"/>
    <w:rsid w:val="00AB3FEE"/>
    <w:rsid w:val="00B97FA7"/>
    <w:rsid w:val="00CF14EB"/>
    <w:rsid w:val="00D01EC9"/>
    <w:rsid w:val="00D023E5"/>
    <w:rsid w:val="00D04E9C"/>
    <w:rsid w:val="00E14BBD"/>
    <w:rsid w:val="00F1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2717"/>
  <w15:chartTrackingRefBased/>
  <w15:docId w15:val="{16CE5342-5BFD-4C27-BBD8-689A3342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11959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31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5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59"/>
  </w:style>
  <w:style w:type="paragraph" w:styleId="Footer">
    <w:name w:val="footer"/>
    <w:basedOn w:val="Normal"/>
    <w:link w:val="FooterChar"/>
    <w:uiPriority w:val="99"/>
    <w:unhideWhenUsed/>
    <w:rsid w:val="00935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759"/>
  </w:style>
  <w:style w:type="paragraph" w:styleId="ListParagraph">
    <w:name w:val="List Paragraph"/>
    <w:basedOn w:val="Normal"/>
    <w:uiPriority w:val="34"/>
    <w:qFormat/>
    <w:rsid w:val="006C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hayes\Desktop\table%20vidyo%20covid%20update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SCCBI Regional Telepresence Utilization</a:t>
            </a:r>
          </a:p>
          <a:p>
            <a:pPr>
              <a:defRPr/>
            </a:pPr>
            <a:r>
              <a:rPr lang="en-US" sz="1200"/>
              <a:t>Pre &amp; During</a:t>
            </a:r>
            <a:r>
              <a:rPr lang="en-US" sz="1200" baseline="0"/>
              <a:t> COVID-19 Pandemic 2020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B3-44E0-9A81-7E5941CC089C}"/>
              </c:ext>
            </c:extLst>
          </c:dPt>
          <c:cat>
            <c:strRef>
              <c:f>Sheet1!$A$23:$A$24</c:f>
              <c:strCache>
                <c:ptCount val="2"/>
                <c:pt idx="0">
                  <c:v>Monthly Utilization, pre COVID-19</c:v>
                </c:pt>
                <c:pt idx="1">
                  <c:v>Monthly Utilization, during COVID-19</c:v>
                </c:pt>
              </c:strCache>
            </c:strRef>
          </c:cat>
          <c:val>
            <c:numRef>
              <c:f>Sheet1!$B$23:$B$24</c:f>
              <c:numCache>
                <c:formatCode>General</c:formatCode>
                <c:ptCount val="2"/>
                <c:pt idx="0">
                  <c:v>339</c:v>
                </c:pt>
                <c:pt idx="1">
                  <c:v>8239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B3-44E0-9A81-7E5941CC0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7"/>
        <c:axId val="435409616"/>
        <c:axId val="435410272"/>
      </c:barChart>
      <c:catAx>
        <c:axId val="43540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410272"/>
        <c:crosses val="autoZero"/>
        <c:auto val="1"/>
        <c:lblAlgn val="ctr"/>
        <c:lblOffset val="100"/>
        <c:noMultiLvlLbl val="0"/>
      </c:catAx>
      <c:valAx>
        <c:axId val="43541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5409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SCCBI</a:t>
            </a:r>
            <a:r>
              <a:rPr lang="en-US" sz="1200" b="1" baseline="0"/>
              <a:t> Regional Telepresence Users  Pre and During COVID-19 Pandemic 2020</a:t>
            </a:r>
            <a:endParaRPr lang="en-US" sz="1200" b="1"/>
          </a:p>
        </c:rich>
      </c:tx>
      <c:layout>
        <c:manualLayout>
          <c:xMode val="edge"/>
          <c:yMode val="edge"/>
          <c:x val="0.17695295780335149"/>
          <c:y val="0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638015527779307"/>
          <c:y val="0.2171511402897694"/>
          <c:w val="0.86071482079539208"/>
          <c:h val="0.65391589791222482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Sheet1!$A$22</c:f>
              <c:strCache>
                <c:ptCount val="1"/>
                <c:pt idx="0">
                  <c:v>April 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Sheet1!$B$20</c:f>
              <c:strCache>
                <c:ptCount val="1"/>
                <c:pt idx="0">
                  <c:v>Total Licensed Users</c:v>
                </c:pt>
              </c:strCache>
            </c:strRef>
          </c:cat>
          <c:val>
            <c:numRef>
              <c:f>Sheet1!$B$22</c:f>
              <c:numCache>
                <c:formatCode>General</c:formatCode>
                <c:ptCount val="1"/>
                <c:pt idx="0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5E-44CC-B9EA-565CABF94F7F}"/>
            </c:ext>
          </c:extLst>
        </c:ser>
        <c:ser>
          <c:idx val="0"/>
          <c:order val="1"/>
          <c:tx>
            <c:strRef>
              <c:f>Sheet1!$A$21</c:f>
              <c:strCache>
                <c:ptCount val="1"/>
                <c:pt idx="0">
                  <c:v>Feburary 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Sheet1!$B$20</c:f>
              <c:strCache>
                <c:ptCount val="1"/>
                <c:pt idx="0">
                  <c:v>Total Licensed Users</c:v>
                </c:pt>
              </c:strCache>
            </c:strRef>
          </c:cat>
          <c:val>
            <c:numRef>
              <c:f>Sheet1!$B$21</c:f>
              <c:numCache>
                <c:formatCode>General</c:formatCode>
                <c:ptCount val="1"/>
                <c:pt idx="0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5E-44CC-B9EA-565CABF94F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427898984"/>
        <c:axId val="427903904"/>
      </c:barChart>
      <c:catAx>
        <c:axId val="427898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7903904"/>
        <c:crosses val="autoZero"/>
        <c:auto val="1"/>
        <c:lblAlgn val="ctr"/>
        <c:lblOffset val="100"/>
        <c:noMultiLvlLbl val="0"/>
      </c:catAx>
      <c:valAx>
        <c:axId val="427903904"/>
        <c:scaling>
          <c:orientation val="minMax"/>
          <c:max val="2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7898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0.55206</cdr:x>
      <cdr:y>0.28698</cdr:y>
    </cdr:from>
    <cdr:to>
      <cdr:x>0.94367</cdr:x>
      <cdr:y>0.89834</cdr:y>
    </cdr:to>
    <cdr:sp macro="" textlink="">
      <cdr:nvSpPr>
        <cdr:cNvPr id="2" name="Arrow: Up 1">
          <a:extLst xmlns:a="http://schemas.openxmlformats.org/drawingml/2006/main">
            <a:ext uri="{FF2B5EF4-FFF2-40B4-BE49-F238E27FC236}">
              <a16:creationId xmlns:a16="http://schemas.microsoft.com/office/drawing/2014/main" id="{4AE1C5D1-6A01-4761-9146-0CC16A6D382D}"/>
            </a:ext>
          </a:extLst>
        </cdr:cNvPr>
        <cdr:cNvSpPr/>
      </cdr:nvSpPr>
      <cdr:spPr>
        <a:xfrm xmlns:a="http://schemas.openxmlformats.org/drawingml/2006/main">
          <a:off x="1437639" y="1238250"/>
          <a:ext cx="1019811" cy="2637932"/>
        </a:xfrm>
        <a:prstGeom xmlns:a="http://schemas.openxmlformats.org/drawingml/2006/main" prst="upArrow">
          <a:avLst/>
        </a:prstGeom>
        <a:gradFill xmlns:a="http://schemas.openxmlformats.org/drawingml/2006/main">
          <a:gsLst>
            <a:gs pos="0">
              <a:schemeClr val="accent1"/>
            </a:gs>
            <a:gs pos="35000">
              <a:schemeClr val="accent1"/>
            </a:gs>
            <a:gs pos="100000">
              <a:schemeClr val="accent2">
                <a:lumMod val="100000"/>
              </a:schemeClr>
            </a:gs>
          </a:gsLst>
          <a:path path="circle">
            <a:fillToRect l="50000" t="-80000" r="50000" b="180000"/>
          </a:path>
        </a:gra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endParaRPr lang="en-US" sz="1200"/>
        </a:p>
      </cdr:txBody>
    </cdr:sp>
  </cdr:relSizeAnchor>
  <cdr:relSizeAnchor xmlns:cdr="http://schemas.openxmlformats.org/drawingml/2006/chartDrawing">
    <cdr:from>
      <cdr:x>0.55922</cdr:x>
      <cdr:y>0.47402</cdr:y>
    </cdr:from>
    <cdr:to>
      <cdr:x>0.94179</cdr:x>
      <cdr:y>0.70522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1456283" y="2045301"/>
          <a:ext cx="996264" cy="9975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n-US" sz="1200" b="1"/>
            <a:t>*2330%</a:t>
          </a:r>
          <a:r>
            <a:rPr lang="en-US" sz="1200" b="1" baseline="0"/>
            <a:t> INCREASE IN UTILIZATION</a:t>
          </a:r>
          <a:endParaRPr lang="en-US" sz="120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0.14487</cdr:x>
      <cdr:y>0.4992</cdr:y>
    </cdr:from>
    <cdr:to>
      <cdr:x>0.94051</cdr:x>
      <cdr:y>0.81748</cdr:y>
    </cdr:to>
    <cdr:sp macro="" textlink="">
      <cdr:nvSpPr>
        <cdr:cNvPr id="3" name="Arrow: Right 2">
          <a:extLst xmlns:a="http://schemas.openxmlformats.org/drawingml/2006/main">
            <a:ext uri="{FF2B5EF4-FFF2-40B4-BE49-F238E27FC236}">
              <a16:creationId xmlns:a16="http://schemas.microsoft.com/office/drawing/2014/main" id="{1D3E97E7-87C1-472D-B8DF-A004499DEA74}"/>
            </a:ext>
          </a:extLst>
        </cdr:cNvPr>
        <cdr:cNvSpPr/>
      </cdr:nvSpPr>
      <cdr:spPr>
        <a:xfrm xmlns:a="http://schemas.openxmlformats.org/drawingml/2006/main">
          <a:off x="1076325" y="646667"/>
          <a:ext cx="5911194" cy="412300"/>
        </a:xfrm>
        <a:prstGeom xmlns:a="http://schemas.openxmlformats.org/drawingml/2006/main" prst="rightArrow">
          <a:avLst/>
        </a:prstGeom>
        <a:gradFill xmlns:a="http://schemas.openxmlformats.org/drawingml/2006/main" flip="none" rotWithShape="1">
          <a:gsLst>
            <a:gs pos="0">
              <a:schemeClr val="accent2">
                <a:lumMod val="40000"/>
                <a:lumOff val="60000"/>
              </a:schemeClr>
            </a:gs>
            <a:gs pos="46000">
              <a:schemeClr val="accent2">
                <a:lumMod val="95000"/>
                <a:lumOff val="5000"/>
              </a:schemeClr>
            </a:gs>
            <a:gs pos="100000">
              <a:schemeClr val="accent2">
                <a:lumMod val="60000"/>
              </a:schemeClr>
            </a:gs>
          </a:gsLst>
          <a:path path="circle">
            <a:fillToRect l="50000" t="130000" r="50000" b="-30000"/>
          </a:path>
          <a:tileRect/>
        </a:gra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en-US" sz="1600"/>
            <a:t>89%</a:t>
          </a:r>
          <a:r>
            <a:rPr lang="en-US" sz="1600" baseline="0"/>
            <a:t> INCREASE IN LICENSED USERS APRIL 2020</a:t>
          </a:r>
          <a:endParaRPr lang="en-US" sz="1600"/>
        </a:p>
      </cdr:txBody>
    </cdr:sp>
  </cdr:relSizeAnchor>
  <cdr:relSizeAnchor xmlns:cdr="http://schemas.openxmlformats.org/drawingml/2006/chartDrawing">
    <cdr:from>
      <cdr:x>0.11387</cdr:x>
      <cdr:y>0.23271</cdr:y>
    </cdr:from>
    <cdr:to>
      <cdr:x>0.56002</cdr:x>
      <cdr:y>0.42574</cdr:y>
    </cdr:to>
    <cdr:sp macro="" textlink="">
      <cdr:nvSpPr>
        <cdr:cNvPr id="4" name="Rectangle 3">
          <a:extLst xmlns:a="http://schemas.openxmlformats.org/drawingml/2006/main">
            <a:ext uri="{FF2B5EF4-FFF2-40B4-BE49-F238E27FC236}">
              <a16:creationId xmlns:a16="http://schemas.microsoft.com/office/drawing/2014/main" id="{E36D58BA-E8CE-4278-8A33-7EF23E672628}"/>
            </a:ext>
          </a:extLst>
        </cdr:cNvPr>
        <cdr:cNvSpPr/>
      </cdr:nvSpPr>
      <cdr:spPr>
        <a:xfrm xmlns:a="http://schemas.openxmlformats.org/drawingml/2006/main">
          <a:off x="846030" y="301452"/>
          <a:ext cx="3314671" cy="250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en-US"/>
            <a:t>FEBRUARY</a:t>
          </a:r>
          <a:r>
            <a:rPr lang="en-US" baseline="0"/>
            <a:t> 2020 LICENSED USERS</a:t>
          </a:r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F81E-5F66-4D5F-BF4B-87229DAA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Regional Telepresence Utilization:  Exponential Growth and Foundational Investme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Hayes</dc:creator>
  <cp:keywords/>
  <dc:description/>
  <cp:lastModifiedBy>Angela Youngerberg</cp:lastModifiedBy>
  <cp:revision>2</cp:revision>
  <dcterms:created xsi:type="dcterms:W3CDTF">2020-04-09T17:57:00Z</dcterms:created>
  <dcterms:modified xsi:type="dcterms:W3CDTF">2020-04-09T17:57:00Z</dcterms:modified>
</cp:coreProperties>
</file>